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01C3F">
      <w:pPr>
        <w:pStyle w:val="Nagwek1"/>
        <w:tabs>
          <w:tab w:val="left" w:pos="100"/>
          <w:tab w:val="left" w:pos="111"/>
          <w:tab w:val="left" w:pos="122"/>
          <w:tab w:val="left" w:pos="133"/>
        </w:tabs>
        <w:jc w:val="both"/>
      </w:pPr>
      <w:r>
        <w:rPr>
          <w:rFonts w:ascii="Arial" w:hAnsi="Arial" w:cs="Arial"/>
          <w:sz w:val="44"/>
          <w:szCs w:val="44"/>
        </w:rPr>
        <w:t>Informacje Gminy Miasta Dębica w zakresie gospodarowania odpadami komunalnymi:</w:t>
      </w:r>
    </w:p>
    <w:p w:rsidR="00000000" w:rsidRDefault="00A01C3F">
      <w:pPr>
        <w:pStyle w:val="Tekstpodstawowy"/>
        <w:tabs>
          <w:tab w:val="left" w:pos="100"/>
          <w:tab w:val="left" w:pos="111"/>
          <w:tab w:val="left" w:pos="122"/>
          <w:tab w:val="left" w:pos="133"/>
        </w:tabs>
        <w:jc w:val="both"/>
      </w:pPr>
    </w:p>
    <w:p w:rsidR="00000000" w:rsidRDefault="00A01C3F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 ust. 2 pkt. 9 ustawy z dnia 13 września 1996r. o utrzymaniu czystości i porządku w gminach (t.j. Dz. U. z 2013r poz. 1399), Biuro Gospodarowania Odpadami Ur</w:t>
      </w:r>
      <w:r>
        <w:rPr>
          <w:rFonts w:ascii="Arial" w:hAnsi="Arial" w:cs="Arial"/>
        </w:rPr>
        <w:t>zędu Miejskiego informuje o:</w:t>
      </w:r>
    </w:p>
    <w:p w:rsidR="00000000" w:rsidRDefault="00A01C3F">
      <w:pPr>
        <w:pStyle w:val="Tekstpodstawowy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i/>
        </w:rPr>
        <w:t>a. podmiotach odbierających odpady komunalne od właścicieli nieruchomości            z terenu Gminy Miasta Dębicy:</w:t>
      </w:r>
    </w:p>
    <w:p w:rsidR="00000000" w:rsidRDefault="00A01C3F">
      <w:pPr>
        <w:pStyle w:val="Tekstpodstawowy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Wykaz podmiotów odbierających odpady komunalne od właścicieli nieruchomości załączony na stronie internetowej</w:t>
      </w:r>
      <w:r>
        <w:rPr>
          <w:rFonts w:ascii="Arial" w:hAnsi="Arial" w:cs="Arial"/>
        </w:rPr>
        <w:t xml:space="preserve"> w zakładce Gospodarowanie Odpadami Komunalnymi.</w:t>
      </w:r>
    </w:p>
    <w:p w:rsidR="00000000" w:rsidRDefault="00A01C3F">
      <w:pPr>
        <w:pStyle w:val="Tekstpodstawowy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i/>
        </w:rPr>
        <w:t>b. miejscach zagospodarowania przez podmioty odbierające odpady komunalne od właścicieli nieruchomości z terenu Gminy Miasta Dębicy zmieszanych odpadów komunalnych, odpadów zielonych oraz pozostałości z sor</w:t>
      </w:r>
      <w:r>
        <w:rPr>
          <w:rFonts w:ascii="Arial" w:hAnsi="Arial" w:cs="Arial"/>
          <w:b/>
          <w:i/>
        </w:rPr>
        <w:t>towania odpadów komunalnych przeznaczonych do składowania:</w:t>
      </w:r>
    </w:p>
    <w:p w:rsidR="00000000" w:rsidRDefault="00A01C3F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odpady zmieszane – Zakład Segregacji Odpadów Stałych w Paszczynie, </w:t>
      </w:r>
    </w:p>
    <w:p w:rsidR="00000000" w:rsidRDefault="00A01C3F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2.odpady zielone – Kompostownia bębnowa z bioreaktorem PGO Sp.z o.o.                Paszczyna 62B,</w:t>
      </w:r>
    </w:p>
    <w:p w:rsidR="00000000" w:rsidRDefault="00A01C3F">
      <w:pPr>
        <w:pStyle w:val="Tekstpodstawowy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  <w:i/>
        </w:rPr>
        <w:t>osiągniętych przez gmin</w:t>
      </w:r>
      <w:r>
        <w:rPr>
          <w:rFonts w:ascii="Arial" w:hAnsi="Arial" w:cs="Arial"/>
          <w:b/>
          <w:i/>
        </w:rPr>
        <w:t>ę oraz podmioty odbierające odpady komunalne od właścicieli nieruchomości, które nie działają na podstawie umowy, o której mowa w art. 6f ust.1, i nie świadczą takiej usługi w trybie zamówienia z wolnej ręki, o którym mowa w art. 6f ust. 2, w danym roku ka</w:t>
      </w:r>
      <w:r>
        <w:rPr>
          <w:rFonts w:ascii="Arial" w:hAnsi="Arial" w:cs="Arial"/>
          <w:b/>
          <w:i/>
        </w:rPr>
        <w:t>lendarzowym wymaganych poziomach recyklingu, przygotowania do ponownego użycia i odzysku innymi metodami oraz ograniczenia masy odpadów komunalnych ulegających biodegradacji przekazywanych do składowania</w:t>
      </w:r>
      <w:r>
        <w:rPr>
          <w:rFonts w:ascii="Arial" w:hAnsi="Arial" w:cs="Arial"/>
          <w:b/>
        </w:rPr>
        <w:t>.</w:t>
      </w:r>
    </w:p>
    <w:p w:rsidR="00000000" w:rsidRDefault="00A01C3F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1. poziom recyklingu, przygotowania do ponownego uż</w:t>
      </w:r>
      <w:r>
        <w:rPr>
          <w:rFonts w:ascii="Arial" w:hAnsi="Arial" w:cs="Arial"/>
        </w:rPr>
        <w:t>ycia i odzysku papieru, metali, tworzyw sztucznych i szkła:  18,7%</w:t>
      </w:r>
    </w:p>
    <w:p w:rsidR="00000000" w:rsidRDefault="00A01C3F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2. ograniczenie masy odpadów komunalnych ulegających biodegradacji przekazanych do składowania 42,6%</w:t>
      </w:r>
    </w:p>
    <w:p w:rsidR="00000000" w:rsidRDefault="00A01C3F">
      <w:pPr>
        <w:pStyle w:val="Tekstpodstawowy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i/>
        </w:rPr>
        <w:t>d.    punktach selektywnego zbierania odpadów komunalnych:</w:t>
      </w:r>
    </w:p>
    <w:p w:rsidR="00000000" w:rsidRDefault="00A01C3F">
      <w:pPr>
        <w:pStyle w:val="Tekstpodstawowy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1. Firma prowadząca Punkty S</w:t>
      </w:r>
      <w:r>
        <w:rPr>
          <w:rFonts w:ascii="Arial" w:hAnsi="Arial" w:cs="Arial"/>
          <w:b/>
          <w:i/>
        </w:rPr>
        <w:t>elektywnej Zbiórki Odpadów Komunalnych na terenie Gminy Miasta Dębica:</w:t>
      </w:r>
    </w:p>
    <w:p w:rsidR="00000000" w:rsidRDefault="00A01C3F">
      <w:pPr>
        <w:pStyle w:val="Tekstpodstawowy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Przedsiębiorstwo Gospodarowania Odpadami Sp. z o.o. - partner konsorcjum 39-207- Brzeźnica, Paszczyna 62B</w:t>
      </w:r>
    </w:p>
    <w:p w:rsidR="00000000" w:rsidRDefault="00A01C3F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2. Adresy Punktów Selektywnego Zbierania Odpadów Komunalnych:</w:t>
      </w:r>
    </w:p>
    <w:p w:rsidR="00000000" w:rsidRDefault="00A01C3F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lokalizacja: Dębi</w:t>
      </w:r>
      <w:r>
        <w:rPr>
          <w:rFonts w:ascii="Arial" w:hAnsi="Arial" w:cs="Arial"/>
        </w:rPr>
        <w:t xml:space="preserve">ca, skrzyżowanie ul. Drogowców i ul. Przemysłowej, działka nr 68/5 i 68/1 kontakt 14 681 64 86 lub 14 682 33 91 </w:t>
      </w:r>
    </w:p>
    <w:p w:rsidR="00000000" w:rsidRDefault="00A01C3F">
      <w:pPr>
        <w:pStyle w:val="Tekstpodstawowy"/>
        <w:jc w:val="both"/>
      </w:pPr>
      <w:r>
        <w:rPr>
          <w:rFonts w:ascii="Arial" w:hAnsi="Arial" w:cs="Arial"/>
        </w:rPr>
        <w:t>Harmonogram przyjmowania odpadów w PSZOK:</w:t>
      </w:r>
    </w:p>
    <w:p w:rsidR="00000000" w:rsidRDefault="00A01C3F">
      <w:pPr>
        <w:pStyle w:val="Tekstpodstawowy"/>
        <w:jc w:val="both"/>
        <w:rPr>
          <w:rFonts w:ascii="Arial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pt;margin-top:-.7pt;width:481.6pt;height:77.3pt;z-index:1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1056"/>
                    <w:gridCol w:w="577"/>
                    <w:gridCol w:w="591"/>
                    <w:gridCol w:w="741"/>
                    <w:gridCol w:w="741"/>
                    <w:gridCol w:w="742"/>
                    <w:gridCol w:w="741"/>
                    <w:gridCol w:w="742"/>
                    <w:gridCol w:w="741"/>
                    <w:gridCol w:w="741"/>
                    <w:gridCol w:w="742"/>
                    <w:gridCol w:w="741"/>
                    <w:gridCol w:w="743"/>
                  </w:tblGrid>
                  <w:tr w:rsidR="00000000">
                    <w:tc>
                      <w:tcPr>
                        <w:tcW w:w="9639" w:type="dxa"/>
                        <w:gridSpan w:val="1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Harmonogram Przyjmowania Odpadów w PSZOK w 2014 Roku</w:t>
                        </w:r>
                      </w:p>
                    </w:tc>
                  </w:tr>
                  <w:tr w:rsidR="00000000">
                    <w:tc>
                      <w:tcPr>
                        <w:tcW w:w="1056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miesiąc</w:t>
                        </w:r>
                      </w:p>
                    </w:tc>
                    <w:tc>
                      <w:tcPr>
                        <w:tcW w:w="57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I</w:t>
                        </w:r>
                      </w:p>
                    </w:tc>
                    <w:tc>
                      <w:tcPr>
                        <w:tcW w:w="591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II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III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IV</w:t>
                        </w:r>
                      </w:p>
                    </w:tc>
                    <w:tc>
                      <w:tcPr>
                        <w:tcW w:w="742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V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VI</w:t>
                        </w:r>
                      </w:p>
                    </w:tc>
                    <w:tc>
                      <w:tcPr>
                        <w:tcW w:w="742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VII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VIII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IX</w:t>
                        </w:r>
                      </w:p>
                    </w:tc>
                    <w:tc>
                      <w:tcPr>
                        <w:tcW w:w="742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XI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XII</w:t>
                        </w:r>
                      </w:p>
                    </w:tc>
                  </w:tr>
                  <w:tr w:rsidR="00000000">
                    <w:tc>
                      <w:tcPr>
                        <w:tcW w:w="1056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godziny</w:t>
                        </w:r>
                      </w:p>
                    </w:tc>
                    <w:tc>
                      <w:tcPr>
                        <w:tcW w:w="1909" w:type="dxa"/>
                        <w:gridSpan w:val="3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7:00-17:00</w:t>
                        </w:r>
                      </w:p>
                    </w:tc>
                    <w:tc>
                      <w:tcPr>
                        <w:tcW w:w="5190" w:type="dxa"/>
                        <w:gridSpan w:val="7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jc w:val="center"/>
                        </w:pPr>
                        <w:r>
                          <w:t>7:00-20:00</w:t>
                        </w:r>
                      </w:p>
                    </w:tc>
                    <w:tc>
                      <w:tcPr>
                        <w:tcW w:w="1484" w:type="dxa"/>
                        <w:gridSpan w:val="2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jc w:val="center"/>
                        </w:pPr>
                        <w:r>
                          <w:t>7:00-17:00</w:t>
                        </w:r>
                      </w:p>
                    </w:tc>
                  </w:tr>
                  <w:tr w:rsidR="00000000">
                    <w:tc>
                      <w:tcPr>
                        <w:tcW w:w="1056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dni</w:t>
                        </w:r>
                      </w:p>
                    </w:tc>
                    <w:tc>
                      <w:tcPr>
                        <w:tcW w:w="57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91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pStyle w:val="Zawartotabeli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jc w:val="center"/>
                        </w:pPr>
                        <w:r>
                          <w:t>1/14</w:t>
                        </w:r>
                      </w:p>
                    </w:tc>
                    <w:tc>
                      <w:tcPr>
                        <w:tcW w:w="742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jc w:val="center"/>
                        </w:pPr>
                        <w:r>
                          <w:t>5/19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jc w:val="center"/>
                        </w:pPr>
                        <w:r>
                          <w:t>2/16</w:t>
                        </w:r>
                      </w:p>
                    </w:tc>
                    <w:tc>
                      <w:tcPr>
                        <w:tcW w:w="742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jc w:val="center"/>
                        </w:pPr>
                        <w:r>
                          <w:t>1/15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jc w:val="center"/>
                        </w:pPr>
                        <w:r>
                          <w:t>4/18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jc w:val="center"/>
                        </w:pPr>
                        <w:r>
                          <w:t>1/15</w:t>
                        </w:r>
                      </w:p>
                    </w:tc>
                    <w:tc>
                      <w:tcPr>
                        <w:tcW w:w="742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jc w:val="center"/>
                        </w:pPr>
                        <w:r>
                          <w:t>1/13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43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000000" w:rsidRDefault="00A01C3F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:rsidR="00000000" w:rsidRDefault="00A01C3F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00000" w:rsidRDefault="00A01C3F">
      <w:pPr>
        <w:pStyle w:val="Tekstpodstawowy"/>
        <w:jc w:val="both"/>
        <w:rPr>
          <w:rFonts w:ascii="Arial" w:hAnsi="Arial" w:cs="Arial"/>
        </w:rPr>
      </w:pPr>
    </w:p>
    <w:p w:rsidR="00000000" w:rsidRDefault="00A01C3F">
      <w:pPr>
        <w:pStyle w:val="Tekstpodstawowy"/>
        <w:jc w:val="both"/>
        <w:rPr>
          <w:rFonts w:ascii="Arial" w:hAnsi="Arial" w:cs="Arial"/>
        </w:rPr>
      </w:pPr>
    </w:p>
    <w:p w:rsidR="00000000" w:rsidRDefault="00A01C3F">
      <w:pPr>
        <w:pStyle w:val="Tekstpodstawowy"/>
        <w:spacing w:after="0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  <w:i/>
          <w:iCs/>
        </w:rPr>
        <w:t>Punkty Selektywnego Zbierania Przeterminowanych Leków:</w:t>
      </w:r>
    </w:p>
    <w:p w:rsidR="00000000" w:rsidRDefault="00A01C3F">
      <w:pPr>
        <w:pStyle w:val="Tekstpodstawowy"/>
        <w:spacing w:after="0"/>
        <w:rPr>
          <w:rFonts w:ascii="Arial" w:hAnsi="Arial" w:cs="Arial"/>
        </w:rPr>
      </w:pPr>
    </w:p>
    <w:p w:rsidR="00000000" w:rsidRDefault="00A01C3F">
      <w:pPr>
        <w:pStyle w:val="Tekstpodstawowy"/>
        <w:spacing w:after="0"/>
        <w:rPr>
          <w:rFonts w:ascii="Arial" w:hAnsi="Arial" w:cs="Arial"/>
        </w:rPr>
      </w:pPr>
      <w:r>
        <w:rPr>
          <w:rFonts w:ascii="Arial" w:hAnsi="Arial" w:cs="Arial"/>
        </w:rPr>
        <w:t>Wykaz Aptek, w których prowadzona jest z</w:t>
      </w:r>
      <w:r>
        <w:rPr>
          <w:rFonts w:ascii="Arial" w:hAnsi="Arial" w:cs="Arial"/>
        </w:rPr>
        <w:t>biórka przeterminowanych leków od mieszkańców Dębicy:</w:t>
      </w:r>
    </w:p>
    <w:p w:rsidR="00000000" w:rsidRDefault="00A01C3F">
      <w:pPr>
        <w:pStyle w:val="Tekstpodstawowy"/>
        <w:spacing w:after="0"/>
        <w:jc w:val="both"/>
        <w:rPr>
          <w:rFonts w:ascii="Arial" w:hAnsi="Arial" w:cs="Arial"/>
        </w:rPr>
      </w:pPr>
    </w:p>
    <w:p w:rsidR="00000000" w:rsidRDefault="00A01C3F">
      <w:pPr>
        <w:pStyle w:val="Tekstpodstawowy"/>
        <w:spacing w:after="0"/>
        <w:jc w:val="both"/>
        <w:rPr>
          <w:rFonts w:ascii="Arial" w:hAnsi="Arial" w:cs="Arial"/>
        </w:rPr>
      </w:pPr>
    </w:p>
    <w:p w:rsidR="00000000" w:rsidRDefault="00A01C3F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Apteka Św. Łukasza – ul. Rzeszowska 66/48</w:t>
      </w:r>
    </w:p>
    <w:p w:rsidR="00000000" w:rsidRDefault="00A01C3F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Apteka Cefarm Rzeszów SA- ul. Rzeszowska 114</w:t>
      </w:r>
    </w:p>
    <w:p w:rsidR="00000000" w:rsidRDefault="00A01C3F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Apteka Millenium – ul. Krakowska 94e</w:t>
      </w:r>
    </w:p>
    <w:p w:rsidR="00000000" w:rsidRDefault="00A01C3F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Apteka Melisa – ul. Kolejowa 9</w:t>
      </w:r>
    </w:p>
    <w:p w:rsidR="00000000" w:rsidRDefault="00A01C3F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Apteka Prolek – ul. Tuwima 4</w:t>
      </w:r>
    </w:p>
    <w:p w:rsidR="00000000" w:rsidRDefault="00A01C3F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Apteka Cefarm-Kr</w:t>
      </w:r>
      <w:r>
        <w:rPr>
          <w:rFonts w:ascii="Arial" w:hAnsi="Arial" w:cs="Arial"/>
        </w:rPr>
        <w:t>aków S.A. – ul. Krakowska 4A</w:t>
      </w:r>
    </w:p>
    <w:p w:rsidR="00000000" w:rsidRDefault="00A01C3F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Apteka Aspirynka – ul. 3 Maja 3a</w:t>
      </w:r>
    </w:p>
    <w:p w:rsidR="00000000" w:rsidRDefault="00A01C3F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Apteka „ Pod Gryfem” – ul. Kolejowa 34</w:t>
      </w:r>
    </w:p>
    <w:p w:rsidR="00000000" w:rsidRDefault="00A01C3F">
      <w:pPr>
        <w:pStyle w:val="Tekstpodstawowy"/>
        <w:spacing w:after="0"/>
        <w:jc w:val="both"/>
        <w:rPr>
          <w:rStyle w:val="Uwydatnienie"/>
          <w:rFonts w:ascii="Arial" w:hAnsi="Arial" w:cs="Arial"/>
        </w:rPr>
      </w:pPr>
      <w:r>
        <w:rPr>
          <w:rFonts w:ascii="Arial" w:hAnsi="Arial" w:cs="Arial"/>
        </w:rPr>
        <w:t xml:space="preserve">Apteka Panaceum – ul. Cmentarna 52C   </w:t>
      </w:r>
    </w:p>
    <w:p w:rsidR="00000000" w:rsidRDefault="00A01C3F">
      <w:pPr>
        <w:pStyle w:val="Tekstpodstawowy"/>
        <w:spacing w:after="0"/>
        <w:jc w:val="both"/>
      </w:pPr>
      <w:r>
        <w:rPr>
          <w:rStyle w:val="Uwydatnienie"/>
          <w:rFonts w:ascii="Arial" w:hAnsi="Arial" w:cs="Arial"/>
        </w:rPr>
        <w:t> </w:t>
      </w:r>
    </w:p>
    <w:p w:rsidR="00000000" w:rsidRDefault="00A01C3F">
      <w:pPr>
        <w:pStyle w:val="Tekstpodstawowy"/>
        <w:spacing w:after="0"/>
        <w:jc w:val="both"/>
      </w:pPr>
    </w:p>
    <w:p w:rsidR="00000000" w:rsidRDefault="00A01C3F">
      <w:pPr>
        <w:pStyle w:val="Tekstpodstawowy"/>
        <w:spacing w:after="0"/>
        <w:jc w:val="both"/>
      </w:pPr>
    </w:p>
    <w:p w:rsidR="00000000" w:rsidRDefault="00A01C3F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Ponadto informujemy, że jest prowadzona „Wystawka” akcja zbierania odpadów wielkogabarytowych, zużytego sprzętu</w:t>
      </w:r>
      <w:r>
        <w:rPr>
          <w:rFonts w:ascii="Arial" w:hAnsi="Arial" w:cs="Arial"/>
          <w:b/>
          <w:bCs/>
        </w:rPr>
        <w:t xml:space="preserve"> elektrycznego i elektronicznego z gospodarstw domowych z terenu Miasta Dębica. Odbywać się będzie w dniach : 27, 28, 31 marca 2014r. oraz 29, 30, 31 października 2014r. Odbiór wystawki należy zgłosić w Biurze Obsługi Mieszkańca do 25.03.2014 i 27.10.2014r</w:t>
      </w:r>
      <w:r>
        <w:rPr>
          <w:rFonts w:ascii="Arial" w:hAnsi="Arial" w:cs="Arial"/>
          <w:b/>
          <w:bCs/>
        </w:rPr>
        <w:t>. Tel. 14 681 64 86</w:t>
      </w:r>
    </w:p>
    <w:p w:rsidR="00000000" w:rsidRDefault="00A01C3F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0000" w:rsidRDefault="00A01C3F">
      <w:pPr>
        <w:pStyle w:val="Tekstpodstawowy"/>
        <w:jc w:val="both"/>
        <w:rPr>
          <w:rFonts w:ascii="Arial" w:hAnsi="Arial" w:cs="Arial"/>
        </w:rPr>
      </w:pPr>
    </w:p>
    <w:p w:rsidR="00000000" w:rsidRDefault="00A01C3F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Wykaz obiektów na terenie miasta Dębica w których należy ustawić pojemniki na zużyte baterie: </w:t>
      </w:r>
    </w:p>
    <w:p w:rsidR="00000000" w:rsidRDefault="00A01C3F">
      <w:pPr>
        <w:rPr>
          <w:rFonts w:ascii="Arial" w:hAnsi="Arial" w:cs="Arial"/>
          <w:b/>
          <w:bCs/>
          <w:i/>
          <w:iCs/>
        </w:rPr>
      </w:pPr>
    </w:p>
    <w:p w:rsidR="00000000" w:rsidRDefault="00A01C3F">
      <w:pPr>
        <w:rPr>
          <w:rFonts w:ascii="Arial" w:hAnsi="Arial" w:cs="Arial"/>
          <w:b/>
          <w:bCs/>
          <w:i/>
          <w:iCs/>
        </w:rPr>
      </w:pP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Miejskie Gimnazjum nr 1 ul. Cmentarna 1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Miejskie Gimnazjum nr 2 ul. Łysogórska 25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nr 1 Paderewskiego 4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>Miejskie Gimnazju</w:t>
      </w:r>
      <w:r>
        <w:rPr>
          <w:rFonts w:ascii="Arial" w:hAnsi="Arial" w:cs="Arial"/>
        </w:rPr>
        <w:t xml:space="preserve">m nr 4 ul. Wyrobka 11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2 ul. Ogrodowa 22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3 ul. Kraszewskiego 37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8 ul.Wielopolska 162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9 ul. Grottgera 3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10 ul. Wagnera 4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>Szkoła Podstawowa nr 11 ul</w:t>
      </w:r>
      <w:r>
        <w:rPr>
          <w:rFonts w:ascii="Arial" w:hAnsi="Arial" w:cs="Arial"/>
        </w:rPr>
        <w:t xml:space="preserve">. Szkotnia 14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12 ul. Gajowa 9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1, ul. Szkotnia 10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2, ul. Konarskiego 14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4, ul. Strumskiego 3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5, ul. Łysogórska 23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>Przedszkole Miejskie</w:t>
      </w:r>
      <w:r>
        <w:rPr>
          <w:rFonts w:ascii="Arial" w:hAnsi="Arial" w:cs="Arial"/>
        </w:rPr>
        <w:t xml:space="preserve"> nr 6 ul. Os. Matejki 19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7,ul. Kochanowskiego 4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8 ul. Szkolna 4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9 ul. Sienkiewicza 6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10 ul. Kołłątaja 8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11 ul. 3 Maja 14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>Przedszko</w:t>
      </w:r>
      <w:r>
        <w:rPr>
          <w:rFonts w:ascii="Arial" w:hAnsi="Arial" w:cs="Arial"/>
        </w:rPr>
        <w:t xml:space="preserve">le Miejskie nr 12 ul. Cmentarna 56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Przedszkole Sióstr Służebniczek ul. Krakowska 15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Przedszkole Niepubliczne WELDON KIDS ul. Ratuszowa 9 </w:t>
      </w:r>
    </w:p>
    <w:p w:rsidR="00000000" w:rsidRDefault="00A01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Urząd Miejski ul. Ratuszowa 2 </w:t>
      </w:r>
    </w:p>
    <w:p w:rsidR="00000000" w:rsidRDefault="00A01C3F">
      <w:pPr>
        <w:rPr>
          <w:rFonts w:ascii="Arial" w:hAnsi="Arial" w:cs="Arial"/>
        </w:rPr>
      </w:pPr>
    </w:p>
    <w:p w:rsidR="00000000" w:rsidRDefault="00A01C3F">
      <w:pPr>
        <w:rPr>
          <w:rFonts w:ascii="Arial" w:hAnsi="Arial" w:cs="Arial"/>
        </w:rPr>
      </w:pPr>
    </w:p>
    <w:p w:rsidR="00000000" w:rsidRDefault="00A01C3F">
      <w:pPr>
        <w:rPr>
          <w:rFonts w:ascii="Arial" w:hAnsi="Arial" w:cs="Arial"/>
        </w:rPr>
      </w:pPr>
    </w:p>
    <w:p w:rsidR="00000000" w:rsidRDefault="00A01C3F">
      <w:pPr>
        <w:rPr>
          <w:rFonts w:ascii="Arial" w:hAnsi="Arial" w:cs="Arial"/>
        </w:rPr>
      </w:pPr>
    </w:p>
    <w:p w:rsidR="00000000" w:rsidRDefault="00A01C3F">
      <w:pPr>
        <w:pStyle w:val="Tekstpodstawowy"/>
        <w:jc w:val="both"/>
      </w:pPr>
      <w:r>
        <w:rPr>
          <w:rFonts w:ascii="Arial" w:hAnsi="Arial" w:cs="Arial"/>
          <w:b/>
          <w:bCs/>
          <w:i/>
          <w:iCs/>
        </w:rPr>
        <w:t> </w:t>
      </w:r>
      <w:r>
        <w:rPr>
          <w:rFonts w:ascii="Arial" w:hAnsi="Arial" w:cs="Arial"/>
          <w:b/>
          <w:bCs/>
          <w:i/>
          <w:iCs/>
        </w:rPr>
        <w:t>e.   </w:t>
      </w:r>
      <w:r>
        <w:rPr>
          <w:rFonts w:ascii="Arial" w:hAnsi="Arial" w:cs="Arial"/>
          <w:b/>
          <w:i/>
        </w:rPr>
        <w:t xml:space="preserve">zbierających zużyty sprzęt elektryczny i elektroniczny pochodzący          </w:t>
      </w:r>
      <w:r>
        <w:rPr>
          <w:rFonts w:ascii="Arial" w:hAnsi="Arial" w:cs="Arial"/>
          <w:b/>
          <w:i/>
        </w:rPr>
        <w:t xml:space="preserve">                        z gospodarstw domowych, o których mowa w ustawie z dnia 29 lipca 2005r.                       o zużytym sprzęcie elektruczny i elektroniczny:</w:t>
      </w:r>
    </w:p>
    <w:p w:rsidR="00000000" w:rsidRDefault="00A01C3F">
      <w:pPr>
        <w:pStyle w:val="Tekstpodstawowy"/>
        <w:jc w:val="both"/>
      </w:pPr>
    </w:p>
    <w:tbl>
      <w:tblPr>
        <w:tblW w:w="0" w:type="auto"/>
        <w:tblInd w:w="230" w:type="dxa"/>
        <w:tblLayout w:type="fixed"/>
        <w:tblLook w:val="0000"/>
      </w:tblPr>
      <w:tblGrid>
        <w:gridCol w:w="511"/>
        <w:gridCol w:w="3778"/>
        <w:gridCol w:w="5178"/>
      </w:tblGrid>
      <w:tr w:rsidR="00000000">
        <w:trPr>
          <w:trHeight w:val="83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</w:pPr>
            <w:r>
              <w:rPr>
                <w:b/>
              </w:rPr>
              <w:t>Adresy punktów zbierania zużytego sprzętu elektrycznego i elektronicznego</w:t>
            </w:r>
          </w:p>
        </w:tc>
      </w:tr>
      <w:tr w:rsidR="00000000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</w:pPr>
          </w:p>
          <w:p w:rsidR="00000000" w:rsidRDefault="00A01C3F">
            <w:pPr>
              <w:jc w:val="center"/>
            </w:pPr>
            <w:r>
              <w:t>Skl</w:t>
            </w:r>
            <w:r>
              <w:t>ep Media Expert</w:t>
            </w:r>
          </w:p>
          <w:p w:rsidR="00000000" w:rsidRDefault="00A01C3F">
            <w:pPr>
              <w:jc w:val="center"/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</w:pPr>
            <w:r>
              <w:t>ul. Rzeszowska 131B</w:t>
            </w:r>
          </w:p>
          <w:p w:rsidR="00000000" w:rsidRDefault="00A01C3F">
            <w:pPr>
              <w:jc w:val="center"/>
            </w:pPr>
            <w:r>
              <w:t>39-200 Debica</w:t>
            </w:r>
          </w:p>
        </w:tc>
      </w:tr>
      <w:tr w:rsidR="00000000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</w:pPr>
            <w:r>
              <w:rPr>
                <w:caps/>
              </w:rPr>
              <w:t>PPHU Bogmar 2</w:t>
            </w:r>
          </w:p>
          <w:p w:rsidR="00000000" w:rsidRDefault="00A01C3F">
            <w:pPr>
              <w:jc w:val="center"/>
            </w:pPr>
            <w:r>
              <w:t>ul. Rzeszowska 41, 39-200 Dębica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</w:pPr>
            <w:r>
              <w:t xml:space="preserve">Sklep nr 7 </w:t>
            </w:r>
          </w:p>
          <w:p w:rsidR="00000000" w:rsidRDefault="00A01C3F">
            <w:pPr>
              <w:jc w:val="center"/>
            </w:pPr>
            <w:r>
              <w:t>ul. Rzeszowska 41</w:t>
            </w:r>
          </w:p>
          <w:p w:rsidR="00000000" w:rsidRDefault="00A01C3F">
            <w:pPr>
              <w:jc w:val="center"/>
            </w:pPr>
            <w:r>
              <w:t>Sklep nr 3</w:t>
            </w:r>
          </w:p>
          <w:p w:rsidR="00000000" w:rsidRDefault="00A01C3F">
            <w:pPr>
              <w:jc w:val="center"/>
            </w:pPr>
            <w:r>
              <w:t>ul. Kolejowa 29</w:t>
            </w:r>
          </w:p>
          <w:p w:rsidR="00000000" w:rsidRDefault="00A01C3F">
            <w:pPr>
              <w:jc w:val="center"/>
            </w:pPr>
            <w:r>
              <w:t>39-200 Dębica</w:t>
            </w:r>
          </w:p>
        </w:tc>
      </w:tr>
      <w:tr w:rsidR="00000000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</w:pPr>
            <w:r>
              <w:t>Sklep RTV Euro AGD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</w:pPr>
            <w:r>
              <w:t>ul. Ks. Nosala 2</w:t>
            </w:r>
          </w:p>
          <w:p w:rsidR="00000000" w:rsidRDefault="00A01C3F">
            <w:pPr>
              <w:jc w:val="center"/>
            </w:pPr>
            <w:r>
              <w:t>39-200 Dębica</w:t>
            </w:r>
          </w:p>
        </w:tc>
      </w:tr>
      <w:tr w:rsidR="00000000">
        <w:trPr>
          <w:trHeight w:val="64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</w:pPr>
            <w:r>
              <w:rPr>
                <w:caps/>
              </w:rPr>
              <w:t>neonet s.a.</w:t>
            </w:r>
          </w:p>
          <w:p w:rsidR="00000000" w:rsidRDefault="00A01C3F">
            <w:pPr>
              <w:jc w:val="center"/>
            </w:pPr>
            <w:r>
              <w:t>ul. Nyska 48 A, 50-</w:t>
            </w:r>
            <w:r>
              <w:t>505 Wrocław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01C3F">
            <w:pPr>
              <w:jc w:val="center"/>
            </w:pPr>
            <w:r>
              <w:t xml:space="preserve">ul. Rzeszowska 129 </w:t>
            </w:r>
          </w:p>
          <w:p w:rsidR="00000000" w:rsidRDefault="00A01C3F">
            <w:pPr>
              <w:jc w:val="center"/>
            </w:pPr>
            <w:r>
              <w:t>39-200 Dębica</w:t>
            </w:r>
          </w:p>
        </w:tc>
      </w:tr>
    </w:tbl>
    <w:p w:rsidR="00000000" w:rsidRDefault="00A01C3F">
      <w:pPr>
        <w:pStyle w:val="Tekstpodstawowy"/>
        <w:ind w:left="426" w:hanging="426"/>
        <w:jc w:val="both"/>
        <w:rPr>
          <w:rFonts w:ascii="Arial" w:hAnsi="Arial" w:cs="Arial"/>
          <w:b/>
          <w:i/>
          <w:caps/>
          <w:sz w:val="28"/>
          <w:szCs w:val="28"/>
        </w:rPr>
      </w:pPr>
      <w:r>
        <w:rPr>
          <w:rFonts w:ascii="Arial" w:hAnsi="Arial" w:cs="Arial"/>
          <w:b/>
          <w:i/>
          <w:caps/>
          <w:sz w:val="28"/>
          <w:szCs w:val="28"/>
        </w:rPr>
        <w:t> </w:t>
      </w:r>
    </w:p>
    <w:p w:rsidR="00000000" w:rsidRDefault="00A01C3F">
      <w:pPr>
        <w:pStyle w:val="Tekstpodstawowy"/>
        <w:ind w:left="426" w:hanging="426"/>
        <w:jc w:val="both"/>
        <w:rPr>
          <w:rFonts w:ascii="Arial" w:hAnsi="Arial" w:cs="Arial"/>
          <w:b/>
          <w:i/>
          <w:caps/>
          <w:sz w:val="28"/>
          <w:szCs w:val="28"/>
        </w:rPr>
      </w:pPr>
    </w:p>
    <w:p w:rsidR="00000000" w:rsidRDefault="00A01C3F">
      <w:pPr>
        <w:pStyle w:val="Tekstpodstawowy"/>
        <w:ind w:left="426" w:hanging="426"/>
        <w:jc w:val="both"/>
        <w:rPr>
          <w:rFonts w:ascii="Arial" w:hAnsi="Arial" w:cs="Arial"/>
          <w:b/>
          <w:i/>
          <w:caps/>
          <w:sz w:val="28"/>
          <w:szCs w:val="28"/>
        </w:rPr>
      </w:pPr>
    </w:p>
    <w:p w:rsidR="00000000" w:rsidRDefault="00A01C3F">
      <w:pPr>
        <w:pStyle w:val="Tekstpodstawowy"/>
        <w:ind w:left="426" w:hanging="426"/>
        <w:jc w:val="both"/>
        <w:rPr>
          <w:rFonts w:ascii="Arial" w:hAnsi="Arial" w:cs="Arial"/>
          <w:b/>
          <w:i/>
          <w:caps/>
          <w:sz w:val="28"/>
          <w:szCs w:val="28"/>
        </w:rPr>
      </w:pPr>
    </w:p>
    <w:p w:rsidR="00A01C3F" w:rsidRDefault="00A01C3F">
      <w:pPr>
        <w:pStyle w:val="Tekstpodstawowy"/>
        <w:ind w:left="426" w:hanging="426"/>
        <w:jc w:val="both"/>
      </w:pPr>
    </w:p>
    <w:sectPr w:rsidR="00A01C3F">
      <w:pgSz w:w="11906" w:h="16838"/>
      <w:pgMar w:top="568" w:right="1134" w:bottom="142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0C0"/>
    <w:rsid w:val="007D30C0"/>
    <w:rsid w:val="00A0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w Dębicy</dc:creator>
  <cp:keywords/>
  <cp:lastModifiedBy>Urząd Miasta w Dębicy</cp:lastModifiedBy>
  <cp:revision>2</cp:revision>
  <cp:lastPrinted>2014-07-02T06:19:00Z</cp:lastPrinted>
  <dcterms:created xsi:type="dcterms:W3CDTF">2014-07-16T07:28:00Z</dcterms:created>
  <dcterms:modified xsi:type="dcterms:W3CDTF">2014-07-16T07:28:00Z</dcterms:modified>
</cp:coreProperties>
</file>